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09" w:rsidRPr="00453DC1" w:rsidRDefault="000C0409" w:rsidP="00453DC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Звіт  постійної комісії з питань з питань освіти, науки, культури,</w:t>
      </w:r>
    </w:p>
    <w:p w:rsidR="000C0409" w:rsidRDefault="000C0409" w:rsidP="00453DC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мови, прав національних меншин, міжнародного співробітництва,</w:t>
      </w:r>
    </w:p>
    <w:p w:rsidR="000C0409" w:rsidRDefault="000C0409" w:rsidP="00453DC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інформаційної політики, молоді,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t>та туризму, соціального захисту,</w:t>
      </w:r>
    </w:p>
    <w:p w:rsidR="000C0409" w:rsidRDefault="000C0409" w:rsidP="00453DC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 xml:space="preserve"> охорони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t>здоров’я,  материнства та дитинства</w:t>
      </w:r>
    </w:p>
    <w:p w:rsidR="000C0409" w:rsidRDefault="000C0409" w:rsidP="00453DC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Білоцерківської  міської ради</w:t>
      </w:r>
    </w:p>
    <w:p w:rsidR="000C0409" w:rsidRPr="00453DC1" w:rsidRDefault="000C0409" w:rsidP="00453DC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2017 рік </w:t>
      </w:r>
    </w:p>
    <w:p w:rsidR="000C0409" w:rsidRDefault="000C0409" w:rsidP="009212C6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</w:p>
    <w:p w:rsidR="000C0409" w:rsidRDefault="000C0409" w:rsidP="009212C6">
      <w:pPr>
        <w:spacing w:before="50" w:line="276" w:lineRule="auto"/>
        <w:ind w:left="142" w:right="72" w:firstLine="42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період 2017 року постійною комісією міської  ради з</w:t>
      </w:r>
      <w:r w:rsidRPr="002902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212C6">
        <w:rPr>
          <w:rFonts w:ascii="Times New Roman" w:hAnsi="Times New Roman" w:cs="Times New Roman"/>
          <w:sz w:val="24"/>
          <w:szCs w:val="24"/>
          <w:lang w:val="uk-UA"/>
        </w:rPr>
        <w:t>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здоров'я, материнства та дитинства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31 засідання даної комісії, на яких  розглянуто та винесено на розгляд депутатам ради 48 проектів рішень сесії. За наслідками голосування депутатами ухвалено 37 рішень міської ради. З них:</w:t>
      </w:r>
    </w:p>
    <w:p w:rsidR="000C0409" w:rsidRDefault="000C0409" w:rsidP="009212C6">
      <w:pPr>
        <w:pStyle w:val="ListParagraph"/>
        <w:numPr>
          <w:ilvl w:val="0"/>
          <w:numId w:val="1"/>
        </w:numPr>
        <w:spacing w:before="50" w:line="276" w:lineRule="auto"/>
        <w:ind w:right="72"/>
        <w:rPr>
          <w:rFonts w:ascii="Times New Roman" w:hAnsi="Times New Roman" w:cs="Times New Roman"/>
          <w:sz w:val="24"/>
          <w:szCs w:val="24"/>
          <w:lang w:val="uk-UA"/>
        </w:rPr>
      </w:pPr>
      <w:r w:rsidRPr="009212C6">
        <w:rPr>
          <w:rFonts w:ascii="Times New Roman" w:hAnsi="Times New Roman" w:cs="Times New Roman"/>
          <w:sz w:val="24"/>
          <w:szCs w:val="24"/>
          <w:lang w:val="uk-UA"/>
        </w:rPr>
        <w:t xml:space="preserve">З питань соціального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забезпечення жителів міста 4 рішення. Найвагоміші з них- Програма соціального забезпечення та соціального захисту населення міста Біла Церква «Турбота», за якою вже виділено 6  млн. 450 тис.грн. з міського бюджету для забезпечення нашого населення , яке потребує соціального захисту та забезпечення.</w:t>
      </w:r>
    </w:p>
    <w:p w:rsidR="000C0409" w:rsidRDefault="000C0409" w:rsidP="009212C6">
      <w:pPr>
        <w:pStyle w:val="ListParagraph"/>
        <w:numPr>
          <w:ilvl w:val="0"/>
          <w:numId w:val="1"/>
        </w:numPr>
        <w:spacing w:before="50" w:line="276" w:lineRule="auto"/>
        <w:ind w:right="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питань організації діяльності органів місцевого самоврядування та комунальних установ міста , навчально- виховних закладів , закладів культури прийнято 16 рішень. Даними рішеннями приводилися у відповідність до законодавства діяльність даних установ, їх установчі документи. </w:t>
      </w:r>
    </w:p>
    <w:p w:rsidR="000C0409" w:rsidRDefault="000C0409" w:rsidP="00473E42">
      <w:pPr>
        <w:pStyle w:val="ListParagraph"/>
        <w:spacing w:before="50" w:line="276" w:lineRule="auto"/>
        <w:ind w:left="927" w:right="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Найвагомішим було рішення про утворення нового навчально-виховного комплексу «Казка».</w:t>
      </w:r>
    </w:p>
    <w:p w:rsidR="000C0409" w:rsidRDefault="000C0409" w:rsidP="00091F6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питань охорони здоров»я прийнято 5 рішень. Рішення стосувалися впровадження у життя медичної реформи. Вагомими були рішення про створення відповідних медичних закладів, таких як амбулаторія загальної практики – сімейної медицини, тощо. Також , вагомими були рішення про затвердження Програми «Цукровий діабет на 2018 рік»  за якою планується виділити 7 млн.700 тис.грн. .</w:t>
      </w:r>
    </w:p>
    <w:p w:rsidR="000C0409" w:rsidRDefault="000C0409" w:rsidP="00473E42">
      <w:pPr>
        <w:pStyle w:val="ListParagraph"/>
        <w:numPr>
          <w:ilvl w:val="0"/>
          <w:numId w:val="1"/>
        </w:numPr>
        <w:spacing w:before="50" w:line="276" w:lineRule="auto"/>
        <w:ind w:right="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 питань розвитку культури та спорту, молодіжної політики прийнято 11 рішень:</w:t>
      </w:r>
    </w:p>
    <w:p w:rsidR="000C0409" w:rsidRDefault="000C0409" w:rsidP="00091F60">
      <w:pPr>
        <w:pStyle w:val="ListParagraph"/>
        <w:numPr>
          <w:ilvl w:val="0"/>
          <w:numId w:val="2"/>
        </w:numPr>
        <w:spacing w:before="50" w:line="276" w:lineRule="auto"/>
        <w:ind w:right="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сфері спорту прийняття Програми підтримки стадіону «Трудові резерви» на 2017-2020 роки, за якою вже виділено 200 тис.грн.. на ремонт стадіону. Програма облаштування дитячих ігрових майданчиків та спортивних майданчиків .</w:t>
      </w:r>
    </w:p>
    <w:p w:rsidR="000C0409" w:rsidRDefault="000C0409" w:rsidP="00091F60">
      <w:pPr>
        <w:pStyle w:val="ListParagraph"/>
        <w:numPr>
          <w:ilvl w:val="0"/>
          <w:numId w:val="2"/>
        </w:numPr>
        <w:spacing w:before="50" w:line="276" w:lineRule="auto"/>
        <w:ind w:right="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сфері освіти прийнято Програму організації харчування дітей у комунальних навчальних закладах міста на 2017-2020 роки, за якою передбачено виділення коштів на безкоштовне харчування дітей з малозабезпечених сімей, дітей-інвалідів, дітей дошкільного віку учасників АТО. Надалі комісією планується ініціювання безкоштовного харчування дітей шкільного віку учасників АТО. За даною програмою  виділено у 2017 році більше  5 млн. грн. на харчування дітей вказаних категорій. Також, прийнята Програма оздоровлення та відпочинку дітей у 2018 році.</w:t>
      </w:r>
    </w:p>
    <w:p w:rsidR="000C0409" w:rsidRDefault="000C0409" w:rsidP="00091F60">
      <w:pPr>
        <w:pStyle w:val="ListParagraph"/>
        <w:numPr>
          <w:ilvl w:val="0"/>
          <w:numId w:val="2"/>
        </w:numPr>
        <w:spacing w:before="50" w:line="276" w:lineRule="auto"/>
        <w:ind w:right="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питань культури та молодіжної політики приймалися рішення про відзначення преміями талановитої молоді нашого міста.</w:t>
      </w:r>
    </w:p>
    <w:p w:rsidR="000C0409" w:rsidRDefault="000C0409" w:rsidP="004459AA">
      <w:pPr>
        <w:pStyle w:val="ListParagraph"/>
        <w:numPr>
          <w:ilvl w:val="0"/>
          <w:numId w:val="1"/>
        </w:numPr>
        <w:spacing w:before="50" w:line="276" w:lineRule="auto"/>
        <w:ind w:right="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питань освіти прийнято:</w:t>
      </w:r>
    </w:p>
    <w:p w:rsidR="000C0409" w:rsidRPr="00453DC1" w:rsidRDefault="000C0409" w:rsidP="00453D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Рішення про затвердження передавального акту  у зв’язку з приєднанням дитячо-юнацького фізкультурно-спортивного клубу до Білоцерківської загальноосвітньої школи І-ІІІ ступенів №15.</w:t>
      </w:r>
    </w:p>
    <w:p w:rsidR="000C0409" w:rsidRPr="00453DC1" w:rsidRDefault="000C0409" w:rsidP="00453D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Рішення про безоплатну передачу транспортного засобу з балансу Білоцерківської гімназії №2 Білоцерківської міської ради Київської області на баланс Державного навчального   закладу «Білоцерківське професійно-тех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softHyphen/>
        <w:t>нічне училище ім. П.Р. Поповича».</w:t>
      </w:r>
    </w:p>
    <w:p w:rsidR="000C0409" w:rsidRPr="00453DC1" w:rsidRDefault="000C0409" w:rsidP="00453D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Рішення про внесення змін до Програми розвитку системи освіти м. Білої Церкви на 2016-2020.</w:t>
      </w:r>
    </w:p>
    <w:p w:rsidR="000C0409" w:rsidRPr="00453DC1" w:rsidRDefault="000C0409" w:rsidP="00453D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Рішення «Про створення комунальної установи «Інклюзивно-ресурсний центр Білоцерківської міської ради Київської області»</w:t>
      </w:r>
    </w:p>
    <w:p w:rsidR="000C0409" w:rsidRPr="00473E42" w:rsidRDefault="000C0409" w:rsidP="00091F60">
      <w:pPr>
        <w:pStyle w:val="ListParagraph"/>
        <w:spacing w:before="50" w:line="276" w:lineRule="auto"/>
        <w:ind w:left="1287" w:right="72"/>
        <w:rPr>
          <w:rFonts w:ascii="Times New Roman" w:hAnsi="Times New Roman" w:cs="Times New Roman"/>
          <w:sz w:val="24"/>
          <w:szCs w:val="24"/>
          <w:lang w:val="uk-UA"/>
        </w:rPr>
      </w:pPr>
    </w:p>
    <w:p w:rsidR="000C0409" w:rsidRPr="007E6881" w:rsidRDefault="000C0409" w:rsidP="007E6881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 w:rsidRPr="007E6881">
        <w:rPr>
          <w:rFonts w:ascii="Times New Roman" w:hAnsi="Times New Roman" w:cs="Times New Roman"/>
          <w:sz w:val="24"/>
          <w:szCs w:val="24"/>
        </w:rPr>
        <w:t>Голова</w:t>
      </w:r>
      <w:r w:rsidRPr="007E68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881">
        <w:rPr>
          <w:rFonts w:ascii="Times New Roman" w:hAnsi="Times New Roman" w:cs="Times New Roman"/>
          <w:sz w:val="24"/>
          <w:szCs w:val="24"/>
        </w:rPr>
        <w:t xml:space="preserve">постійної комісії з питань з питань </w:t>
      </w:r>
    </w:p>
    <w:p w:rsidR="000C0409" w:rsidRDefault="000C0409" w:rsidP="007E68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освіти, науки, культури,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t xml:space="preserve">мови, прав </w:t>
      </w:r>
    </w:p>
    <w:p w:rsidR="000C0409" w:rsidRDefault="000C0409" w:rsidP="007E68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національних меншин, міжнародного </w:t>
      </w:r>
    </w:p>
    <w:p w:rsidR="000C0409" w:rsidRDefault="000C0409" w:rsidP="007E68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співробітництва,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t>інформаційної політики,</w:t>
      </w:r>
    </w:p>
    <w:p w:rsidR="000C0409" w:rsidRDefault="000C0409" w:rsidP="007E68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молоді,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t>та туризму, соціального захисту,</w:t>
      </w:r>
    </w:p>
    <w:p w:rsidR="000C0409" w:rsidRDefault="000C0409" w:rsidP="007E68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C1">
        <w:rPr>
          <w:rFonts w:ascii="Times New Roman" w:hAnsi="Times New Roman" w:cs="Times New Roman"/>
          <w:sz w:val="24"/>
          <w:szCs w:val="24"/>
          <w:lang w:val="uk-UA"/>
        </w:rPr>
        <w:t>охорони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t>здоров’я,  материнства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3DC1">
        <w:rPr>
          <w:rFonts w:ascii="Times New Roman" w:hAnsi="Times New Roman" w:cs="Times New Roman"/>
          <w:sz w:val="24"/>
          <w:szCs w:val="24"/>
          <w:lang w:val="uk-UA"/>
        </w:rPr>
        <w:t>та дитинства</w:t>
      </w:r>
    </w:p>
    <w:p w:rsidR="000C0409" w:rsidRDefault="000C0409" w:rsidP="007E68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Білоцерківської 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І.В.Гейло</w:t>
      </w:r>
    </w:p>
    <w:p w:rsidR="000C0409" w:rsidRPr="009212C6" w:rsidRDefault="000C0409" w:rsidP="009212C6">
      <w:pPr>
        <w:pStyle w:val="NoSpacing"/>
        <w:ind w:firstLine="426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C0409" w:rsidRPr="009212C6" w:rsidSect="007E688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409" w:rsidRDefault="000C0409">
      <w:r>
        <w:separator/>
      </w:r>
    </w:p>
  </w:endnote>
  <w:endnote w:type="continuationSeparator" w:id="0">
    <w:p w:rsidR="000C0409" w:rsidRDefault="000C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409" w:rsidRDefault="000C0409">
      <w:r>
        <w:separator/>
      </w:r>
    </w:p>
  </w:footnote>
  <w:footnote w:type="continuationSeparator" w:id="0">
    <w:p w:rsidR="000C0409" w:rsidRDefault="000C0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409" w:rsidRDefault="000C0409" w:rsidP="00797B2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0409" w:rsidRDefault="000C04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A013B"/>
    <w:multiLevelType w:val="hybridMultilevel"/>
    <w:tmpl w:val="D6E46BFC"/>
    <w:lvl w:ilvl="0" w:tplc="816211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2C4D2E"/>
    <w:multiLevelType w:val="hybridMultilevel"/>
    <w:tmpl w:val="300821F4"/>
    <w:lvl w:ilvl="0" w:tplc="816211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2F17894"/>
    <w:multiLevelType w:val="hybridMultilevel"/>
    <w:tmpl w:val="FE7C67EA"/>
    <w:lvl w:ilvl="0" w:tplc="57BEAD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E13109"/>
    <w:multiLevelType w:val="hybridMultilevel"/>
    <w:tmpl w:val="15B87F32"/>
    <w:lvl w:ilvl="0" w:tplc="81621110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5B284FE3"/>
    <w:multiLevelType w:val="hybridMultilevel"/>
    <w:tmpl w:val="F6C82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7F165A1"/>
    <w:multiLevelType w:val="hybridMultilevel"/>
    <w:tmpl w:val="EE84E820"/>
    <w:lvl w:ilvl="0" w:tplc="FA8A173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2C6"/>
    <w:rsid w:val="000659F4"/>
    <w:rsid w:val="000869AA"/>
    <w:rsid w:val="00091F60"/>
    <w:rsid w:val="000C0409"/>
    <w:rsid w:val="000F73B1"/>
    <w:rsid w:val="001F2FB1"/>
    <w:rsid w:val="002902F2"/>
    <w:rsid w:val="003F639E"/>
    <w:rsid w:val="004459AA"/>
    <w:rsid w:val="00453DC1"/>
    <w:rsid w:val="00473E42"/>
    <w:rsid w:val="006321EB"/>
    <w:rsid w:val="0068438F"/>
    <w:rsid w:val="00754254"/>
    <w:rsid w:val="00797B22"/>
    <w:rsid w:val="007C6A3F"/>
    <w:rsid w:val="007E6881"/>
    <w:rsid w:val="008E6B05"/>
    <w:rsid w:val="009212C6"/>
    <w:rsid w:val="00B10625"/>
    <w:rsid w:val="00BA65D0"/>
    <w:rsid w:val="00C70B8B"/>
    <w:rsid w:val="00D0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2C6"/>
    <w:pPr>
      <w:widowControl w:val="0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212C6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9212C6"/>
    <w:pPr>
      <w:ind w:left="720"/>
    </w:pPr>
  </w:style>
  <w:style w:type="paragraph" w:styleId="Header">
    <w:name w:val="header"/>
    <w:basedOn w:val="Normal"/>
    <w:link w:val="HeaderChar"/>
    <w:uiPriority w:val="99"/>
    <w:rsid w:val="007E68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8D4"/>
    <w:rPr>
      <w:rFonts w:cs="Calibri"/>
      <w:lang w:val="en-US" w:eastAsia="en-US"/>
    </w:rPr>
  </w:style>
  <w:style w:type="character" w:styleId="PageNumber">
    <w:name w:val="page number"/>
    <w:basedOn w:val="DefaultParagraphFont"/>
    <w:uiPriority w:val="99"/>
    <w:rsid w:val="007E6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561</Words>
  <Characters>3203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MIS_BCER2</cp:lastModifiedBy>
  <cp:revision>11</cp:revision>
  <cp:lastPrinted>2018-01-25T14:24:00Z</cp:lastPrinted>
  <dcterms:created xsi:type="dcterms:W3CDTF">2017-12-10T13:50:00Z</dcterms:created>
  <dcterms:modified xsi:type="dcterms:W3CDTF">2018-01-25T14:24:00Z</dcterms:modified>
</cp:coreProperties>
</file>